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AFAE" w14:textId="77777777" w:rsidR="00CD4337" w:rsidRPr="00CD4337" w:rsidRDefault="00CD4337" w:rsidP="00CD4337">
      <w:pPr>
        <w:spacing w:before="100" w:beforeAutospacing="1" w:after="100" w:afterAutospacing="1" w:line="240" w:lineRule="auto"/>
        <w:rPr>
          <w:rFonts w:ascii="Montserrat" w:eastAsia="Times New Roman" w:hAnsi="Montserrat" w:cs="Times New Roman"/>
          <w:kern w:val="0"/>
          <w14:ligatures w14:val="none"/>
        </w:rPr>
      </w:pPr>
      <w:r w:rsidRPr="00CD4337">
        <w:rPr>
          <w:rFonts w:ascii="Montserrat" w:eastAsia="Times New Roman" w:hAnsi="Montserrat" w:cs="Times New Roman"/>
          <w:kern w:val="0"/>
          <w14:ligatures w14:val="none"/>
        </w:rPr>
        <w:t>We appreciate the interest students across the country have shown in our work! While we'd love to respond to every request, our small staff needs to focus on serving people experiencing homelessness in our community.</w:t>
      </w:r>
    </w:p>
    <w:p w14:paraId="344AAAD6" w14:textId="77777777" w:rsidR="00CD4337" w:rsidRPr="00CD4337" w:rsidRDefault="00CD4337" w:rsidP="00CD4337">
      <w:pPr>
        <w:spacing w:before="100" w:beforeAutospacing="1" w:after="100" w:afterAutospacing="1" w:line="240" w:lineRule="auto"/>
        <w:rPr>
          <w:rFonts w:ascii="Montserrat" w:eastAsia="Times New Roman" w:hAnsi="Montserrat" w:cs="Times New Roman"/>
          <w:kern w:val="0"/>
          <w14:ligatures w14:val="none"/>
        </w:rPr>
      </w:pPr>
      <w:r w:rsidRPr="00CD4337">
        <w:rPr>
          <w:rFonts w:ascii="Montserrat" w:eastAsia="Times New Roman" w:hAnsi="Montserrat" w:cs="Times New Roman"/>
          <w:b/>
          <w:bCs/>
          <w:kern w:val="0"/>
          <w14:ligatures w14:val="none"/>
        </w:rPr>
        <w:t>For students in Larimer or Weld County:</w:t>
      </w:r>
      <w:r w:rsidRPr="00CD4337">
        <w:rPr>
          <w:rFonts w:ascii="Montserrat" w:eastAsia="Times New Roman" w:hAnsi="Montserrat" w:cs="Times New Roman"/>
          <w:kern w:val="0"/>
          <w14:ligatures w14:val="none"/>
        </w:rPr>
        <w:t xml:space="preserve"> Please contact us at </w:t>
      </w:r>
      <w:hyperlink r:id="rId5" w:history="1">
        <w:r w:rsidRPr="00CD4337">
          <w:rPr>
            <w:rFonts w:ascii="Montserrat" w:eastAsia="Times New Roman" w:hAnsi="Montserrat" w:cs="Times New Roman"/>
            <w:color w:val="0000FF"/>
            <w:kern w:val="0"/>
            <w:u w:val="single"/>
            <w14:ligatures w14:val="none"/>
          </w:rPr>
          <w:t>Giving@HomewardAlliance.org</w:t>
        </w:r>
      </w:hyperlink>
      <w:r w:rsidRPr="00CD4337">
        <w:rPr>
          <w:rFonts w:ascii="Montserrat" w:eastAsia="Times New Roman" w:hAnsi="Montserrat" w:cs="Times New Roman"/>
          <w:kern w:val="0"/>
          <w14:ligatures w14:val="none"/>
        </w:rPr>
        <w:t>. We'll do our best to accommodate your request.</w:t>
      </w:r>
    </w:p>
    <w:p w14:paraId="1BE6E826" w14:textId="77777777" w:rsidR="00CD4337" w:rsidRDefault="00CD4337" w:rsidP="00CD4337">
      <w:pPr>
        <w:spacing w:before="100" w:beforeAutospacing="1" w:after="100" w:afterAutospacing="1" w:line="240" w:lineRule="auto"/>
        <w:rPr>
          <w:rFonts w:ascii="Montserrat" w:eastAsia="Times New Roman" w:hAnsi="Montserrat" w:cs="Times New Roman"/>
          <w:kern w:val="0"/>
          <w14:ligatures w14:val="none"/>
        </w:rPr>
      </w:pPr>
      <w:r w:rsidRPr="00CD4337">
        <w:rPr>
          <w:rFonts w:ascii="Montserrat" w:eastAsia="Times New Roman" w:hAnsi="Montserrat" w:cs="Times New Roman"/>
          <w:b/>
          <w:bCs/>
          <w:kern w:val="0"/>
          <w14:ligatures w14:val="none"/>
        </w:rPr>
        <w:t>For students outside Northern Colorado:</w:t>
      </w:r>
      <w:r w:rsidRPr="00CD4337">
        <w:rPr>
          <w:rFonts w:ascii="Montserrat" w:eastAsia="Times New Roman" w:hAnsi="Montserrat" w:cs="Times New Roman"/>
          <w:kern w:val="0"/>
          <w14:ligatures w14:val="none"/>
        </w:rPr>
        <w:t xml:space="preserve"> We've prepared a summary of responses </w:t>
      </w:r>
      <w:r>
        <w:rPr>
          <w:rFonts w:ascii="Montserrat" w:eastAsia="Times New Roman" w:hAnsi="Montserrat" w:cs="Times New Roman"/>
          <w:kern w:val="0"/>
          <w14:ligatures w14:val="none"/>
        </w:rPr>
        <w:t xml:space="preserve">below </w:t>
      </w:r>
      <w:r w:rsidRPr="00CD4337">
        <w:rPr>
          <w:rFonts w:ascii="Montserrat" w:eastAsia="Times New Roman" w:hAnsi="Montserrat" w:cs="Times New Roman"/>
          <w:kern w:val="0"/>
          <w14:ligatures w14:val="none"/>
        </w:rPr>
        <w:t xml:space="preserve">to commonly asked questions that we hope will be helpful for your research. </w:t>
      </w:r>
    </w:p>
    <w:p w14:paraId="14A99D5A" w14:textId="2B651FD3" w:rsidR="00CD4337" w:rsidRPr="00CD4337" w:rsidRDefault="001A576C" w:rsidP="001A576C">
      <w:pPr>
        <w:pStyle w:val="NormalWeb"/>
        <w:spacing w:before="0" w:beforeAutospacing="0" w:after="240" w:afterAutospacing="0"/>
        <w:ind w:left="720"/>
        <w:rPr>
          <w:rFonts w:ascii="Montserrat" w:hAnsi="Montserrat"/>
          <w:sz w:val="20"/>
          <w:szCs w:val="20"/>
        </w:rPr>
      </w:pPr>
      <w:r w:rsidRPr="001A576C">
        <w:rPr>
          <w:rFonts w:ascii="Montserrat" w:hAnsi="Montserrat"/>
          <w:sz w:val="20"/>
          <w:szCs w:val="20"/>
        </w:rPr>
        <w:t>1.</w:t>
      </w:r>
      <w:r>
        <w:rPr>
          <w:rFonts w:ascii="Montserrat" w:hAnsi="Montserrat"/>
          <w:b/>
          <w:bCs/>
          <w:sz w:val="20"/>
          <w:szCs w:val="20"/>
        </w:rPr>
        <w:t xml:space="preserve"> </w:t>
      </w:r>
      <w:r w:rsidR="00CD4337" w:rsidRPr="00CD4337">
        <w:rPr>
          <w:rFonts w:ascii="Montserrat" w:hAnsi="Montserrat"/>
          <w:b/>
          <w:bCs/>
          <w:sz w:val="20"/>
          <w:szCs w:val="20"/>
        </w:rPr>
        <w:t>Most prevalent barriers + how we address them</w:t>
      </w:r>
      <w:r w:rsidR="00CD4337" w:rsidRPr="00CD4337">
        <w:rPr>
          <w:rFonts w:ascii="Montserrat" w:hAnsi="Montserrat"/>
          <w:sz w:val="20"/>
          <w:szCs w:val="20"/>
        </w:rPr>
        <w:br/>
        <w:t>The biggest barriers are lack of affordable units (especially for extremely low incomes), screening barriers (evictions, low credit, criminal history), not having income or documentation, and the reality that many people need support to stabilize (behavioral health, disability, DV, chronic health). We work around those by doing intensive housing navigation, building landlord relationships, leveraging flexible financial assistance when possible (deposits, arrears, application fees), coordinating with benefits/ID help through the Murphy Center, and matching people to the right housing intervention (RRH, PSH, reunification, diversion) rather than a one-size approach.</w:t>
      </w:r>
    </w:p>
    <w:p w14:paraId="7B738109"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2. </w:t>
      </w:r>
      <w:r w:rsidRPr="00CD4337">
        <w:rPr>
          <w:rFonts w:ascii="Montserrat" w:hAnsi="Montserrat"/>
          <w:b/>
          <w:bCs/>
          <w:sz w:val="20"/>
          <w:szCs w:val="20"/>
        </w:rPr>
        <w:t>HWA limitations + main gaps we see</w:t>
      </w:r>
      <w:r w:rsidRPr="00CD4337">
        <w:rPr>
          <w:rFonts w:ascii="Montserrat" w:hAnsi="Montserrat"/>
          <w:sz w:val="20"/>
          <w:szCs w:val="20"/>
        </w:rPr>
        <w:br/>
        <w:t>Our biggest limitations are the same as the system’s: not enough housing supply, not enough deeply subsidized options, and not enough behavioral health capacity that people can actually access quickly. We also have gaps in long-term “step-down” housing for people leaving shelter, limited options for people with higher needs who don’t qualify for PSH, and too few options for people with complex legal/credit barriers. Day-to-day, we’re also constrained by staffing capacity and the reality that many services we rely on (detox, residential treatment, psychiatry, long-term case management) sit outside our direct control.</w:t>
      </w:r>
    </w:p>
    <w:p w14:paraId="4B4B85C7" w14:textId="471493B6"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3. </w:t>
      </w:r>
      <w:r w:rsidRPr="00CD4337">
        <w:rPr>
          <w:rFonts w:ascii="Montserrat" w:hAnsi="Montserrat"/>
          <w:b/>
          <w:bCs/>
          <w:sz w:val="20"/>
          <w:szCs w:val="20"/>
        </w:rPr>
        <w:t>How health intersects + what integrated supports work</w:t>
      </w:r>
      <w:r w:rsidRPr="00CD4337">
        <w:rPr>
          <w:rFonts w:ascii="Montserrat" w:hAnsi="Montserrat"/>
          <w:sz w:val="20"/>
          <w:szCs w:val="20"/>
        </w:rPr>
        <w:br/>
        <w:t>Mental health, substance use, and physical health issues are both causes and consequences of homelessness here—people lose housing because symptoms or crises disrupt work and relationships, and once unhoused, conditions worsen fast. The most effective supports are integrated: coordinated street outreach + low-barrier shelter/day services + access to medication and behavioral health + a housing plan with the right level of ongoing support. Practically, what works is co-located services, warm handoffs to treatment, harm-reduction engagement, and housing models that don’t require someone to be “fixed” before they can be housed.</w:t>
      </w:r>
    </w:p>
    <w:p w14:paraId="7594D250"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4. </w:t>
      </w:r>
      <w:r w:rsidRPr="00CD4337">
        <w:rPr>
          <w:rFonts w:ascii="Montserrat" w:hAnsi="Montserrat"/>
          <w:b/>
          <w:bCs/>
          <w:sz w:val="20"/>
          <w:szCs w:val="20"/>
        </w:rPr>
        <w:t>How local policies (or lack) impact long-term solutions</w:t>
      </w:r>
      <w:r w:rsidRPr="00CD4337">
        <w:rPr>
          <w:rFonts w:ascii="Montserrat" w:hAnsi="Montserrat"/>
          <w:sz w:val="20"/>
          <w:szCs w:val="20"/>
        </w:rPr>
        <w:br/>
        <w:t xml:space="preserve">Local policy shapes what’s possible: zoning and neighborhood opposition restrict where housing and shelter can go, and local enforcement approaches can either support engagement or just move people around. When the policy environment </w:t>
      </w:r>
      <w:r w:rsidRPr="00CD4337">
        <w:rPr>
          <w:rFonts w:ascii="Montserrat" w:hAnsi="Montserrat"/>
          <w:sz w:val="20"/>
          <w:szCs w:val="20"/>
        </w:rPr>
        <w:lastRenderedPageBreak/>
        <w:t>doesn’t align across cities/county (shelter, camping enforcement, sit/lie rules, siting), the system gets fragmented and harder for clients to navigate. The best outcomes happen when policy supports a coordinated response—clear shelter pathways, consistent outreach protocols, and a real pipeline to housing instead of relying on emergency responses.</w:t>
      </w:r>
    </w:p>
    <w:p w14:paraId="68FB9A01" w14:textId="1750107A"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5. </w:t>
      </w:r>
      <w:r w:rsidRPr="00CD4337">
        <w:rPr>
          <w:rFonts w:ascii="Montserrat" w:hAnsi="Montserrat"/>
          <w:b/>
          <w:bCs/>
          <w:sz w:val="20"/>
          <w:szCs w:val="20"/>
        </w:rPr>
        <w:t>Current administration impact on funding/day-to-day</w:t>
      </w:r>
      <w:r w:rsidRPr="00CD4337">
        <w:rPr>
          <w:rFonts w:ascii="Montserrat" w:hAnsi="Montserrat"/>
          <w:sz w:val="20"/>
          <w:szCs w:val="20"/>
        </w:rPr>
        <w:br/>
        <w:t>The biggest impact has been uncertainty and added volatility—when federal guidance or NOFO rules shift suddenly, it creates planning risk and eats staff time. Even when funding levels don’t immediately drop, instability affects partnerships, timelines, compliance, and provider confidence. Day-to-day, the work is still the work—people need shelter, navigation, and housing—but the administrative burden and risk management increase when federal priorities or rules are in flux.</w:t>
      </w:r>
    </w:p>
    <w:p w14:paraId="0540289D"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6. </w:t>
      </w:r>
      <w:r w:rsidRPr="00CD4337">
        <w:rPr>
          <w:rFonts w:ascii="Montserrat" w:hAnsi="Montserrat"/>
          <w:b/>
          <w:bCs/>
          <w:sz w:val="20"/>
          <w:szCs w:val="20"/>
        </w:rPr>
        <w:t>Average demographics + average time unhoused</w:t>
      </w:r>
      <w:r w:rsidRPr="00CD4337">
        <w:rPr>
          <w:rFonts w:ascii="Montserrat" w:hAnsi="Montserrat"/>
          <w:sz w:val="20"/>
          <w:szCs w:val="20"/>
        </w:rPr>
        <w:br/>
        <w:t>The people we serve are mostly adults, a mix of single adults and families, with a significant share experiencing chronic homelessness and disabilities; we also see youth/young adults and older adults with fixed incomes. Demographics vary by program (Murphy Center, street outreach, shelter, housing programs), but overall we see a lot of extremely low income households, people with trauma histories, and people who have cycled through housing instability for years. “Average time unhoused” is hard to give as a single number because it depends on the subgroup—some people resolve quickly with diversion or short-term help, while others have long histories and repeated episodes—so we generally describe it in ranges by population rather than one average.</w:t>
      </w:r>
    </w:p>
    <w:p w14:paraId="2B3D5F3D"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7. </w:t>
      </w:r>
      <w:r w:rsidRPr="00CD4337">
        <w:rPr>
          <w:rFonts w:ascii="Montserrat" w:hAnsi="Montserrat"/>
          <w:b/>
          <w:bCs/>
          <w:sz w:val="20"/>
          <w:szCs w:val="20"/>
        </w:rPr>
        <w:t>Examples of targeted interventions with sustainable success</w:t>
      </w:r>
      <w:r w:rsidRPr="00CD4337">
        <w:rPr>
          <w:rFonts w:ascii="Montserrat" w:hAnsi="Montserrat"/>
          <w:sz w:val="20"/>
          <w:szCs w:val="20"/>
        </w:rPr>
        <w:br/>
        <w:t>Examples that consistently work are targeted diversion (problem-solving + limited flexible assistance), rapid rehousing paired with strong landlord engagement for people with moderate barriers, and PSH for people with chronic homelessness and disabling conditions. For families, prevention/assistance paired with school/community coordination tends to reduce repeat episodes. For people exiting institutions (jail, hospitals), targeted re-entry and systems coordination can reduce returns to homelessness when housing placements and supports are lined up early.</w:t>
      </w:r>
    </w:p>
    <w:p w14:paraId="589AD3F9"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8. </w:t>
      </w:r>
      <w:r w:rsidRPr="00CD4337">
        <w:rPr>
          <w:rFonts w:ascii="Montserrat" w:hAnsi="Montserrat"/>
          <w:b/>
          <w:bCs/>
          <w:sz w:val="20"/>
          <w:szCs w:val="20"/>
        </w:rPr>
        <w:t>Role of affordable housing policy and rent control</w:t>
      </w:r>
      <w:r w:rsidRPr="00CD4337">
        <w:rPr>
          <w:rFonts w:ascii="Montserrat" w:hAnsi="Montserrat"/>
          <w:sz w:val="20"/>
          <w:szCs w:val="20"/>
        </w:rPr>
        <w:br/>
        <w:t>Affordable housing policy is foundational—without more units affordable to extremely low incomes, every other intervention is triage. Rent control is complicated in Colorado and not a tool we rely on locally, but rent stabilization and tenant protections can reduce displacement if designed well; the bigger levers here are expanding deeply affordable supply, rental assistance, and policies that reduce barriers to development. Our strategies focus on linking clients to subsidies where possible and pushing for local/state actions that increase the pipeline of units people can actually afford.</w:t>
      </w:r>
    </w:p>
    <w:p w14:paraId="3D28C828"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9. </w:t>
      </w:r>
      <w:r w:rsidRPr="00CD4337">
        <w:rPr>
          <w:rFonts w:ascii="Montserrat" w:hAnsi="Montserrat"/>
          <w:b/>
          <w:bCs/>
          <w:sz w:val="20"/>
          <w:szCs w:val="20"/>
        </w:rPr>
        <w:t>Community perception influence + how we engage</w:t>
      </w:r>
      <w:r w:rsidRPr="00CD4337">
        <w:rPr>
          <w:rFonts w:ascii="Montserrat" w:hAnsi="Montserrat"/>
          <w:sz w:val="20"/>
          <w:szCs w:val="20"/>
        </w:rPr>
        <w:br/>
        <w:t xml:space="preserve">Public perception drives policy—if the community thinks the only issue is visibility and enforcement, policy tilts toward short-term displacement; if the community </w:t>
      </w:r>
      <w:r w:rsidRPr="00CD4337">
        <w:rPr>
          <w:rFonts w:ascii="Montserrat" w:hAnsi="Montserrat"/>
          <w:sz w:val="20"/>
          <w:szCs w:val="20"/>
        </w:rPr>
        <w:lastRenderedPageBreak/>
        <w:t>understands the housing and services pipeline, policy is more constructive. We engage by sharing data and outcomes, participating in community forums, building relationships with business/neighborhood groups, and elevating practical solutions (what reduces unsheltered homelessness vs. what just moves it). The goal is to keep the conversation grounded in what actually works and what the tradeoffs are.</w:t>
      </w:r>
    </w:p>
    <w:p w14:paraId="1759FB0C"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10. </w:t>
      </w:r>
      <w:r w:rsidRPr="00CD4337">
        <w:rPr>
          <w:rFonts w:ascii="Montserrat" w:hAnsi="Montserrat"/>
          <w:b/>
          <w:bCs/>
          <w:sz w:val="20"/>
          <w:szCs w:val="20"/>
        </w:rPr>
        <w:t>Funding models/partnerships most effective long-term</w:t>
      </w:r>
      <w:r w:rsidRPr="00CD4337">
        <w:rPr>
          <w:rFonts w:ascii="Montserrat" w:hAnsi="Montserrat"/>
          <w:sz w:val="20"/>
          <w:szCs w:val="20"/>
        </w:rPr>
        <w:br/>
        <w:t>The most effective model is braided funding: HUD CoC + ESG/ESG-CV where applicable + state resources + local government + philanthropy, with clear roles and shared outcomes. Partnerships that matter most are with housing authorities, counties/cities, behavioral health providers, hospitals, law enforcement (when aligned), and landlords/property managers. Flexible dollars—private or local—are especially powerful because they can cover gaps that federal funds can’t (documents, fees, move-in barriers, short-term stabilization).</w:t>
      </w:r>
    </w:p>
    <w:p w14:paraId="1FC45378"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11. </w:t>
      </w:r>
      <w:r w:rsidRPr="00CD4337">
        <w:rPr>
          <w:rFonts w:ascii="Montserrat" w:hAnsi="Montserrat"/>
          <w:b/>
          <w:bCs/>
          <w:sz w:val="20"/>
          <w:szCs w:val="20"/>
        </w:rPr>
        <w:t>How we measure success + best metrics</w:t>
      </w:r>
      <w:r w:rsidRPr="00CD4337">
        <w:rPr>
          <w:rFonts w:ascii="Montserrat" w:hAnsi="Montserrat"/>
          <w:sz w:val="20"/>
          <w:szCs w:val="20"/>
        </w:rPr>
        <w:br/>
        <w:t>We measure success using a mix of system and program metrics: exits to permanent housing, returns to homelessness, length of time homeless, income/benefits increases, and engagement rates for unsheltered people. The best metrics are the ones that reflect stability over time—housing retention, reduced inflow into homelessness, and fewer repeat episodes—rather than just throughput. We also watch equity and subpopulation outcomes (families, chronic homelessness, youth) because averages can hide who is being left behind.</w:t>
      </w:r>
    </w:p>
    <w:p w14:paraId="52E03F1B"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12. </w:t>
      </w:r>
      <w:r w:rsidRPr="00CD4337">
        <w:rPr>
          <w:rFonts w:ascii="Montserrat" w:hAnsi="Montserrat"/>
          <w:b/>
          <w:bCs/>
          <w:sz w:val="20"/>
          <w:szCs w:val="20"/>
        </w:rPr>
        <w:t>Biggest challenges implementing sustainable interventions + how we address</w:t>
      </w:r>
      <w:r w:rsidRPr="00CD4337">
        <w:rPr>
          <w:rFonts w:ascii="Montserrat" w:hAnsi="Montserrat"/>
          <w:sz w:val="20"/>
          <w:szCs w:val="20"/>
        </w:rPr>
        <w:br/>
        <w:t>The hardest challenges are housing scarcity, workforce capacity (recruitment/retention), and the mismatch between the intensity of need and the behavioral health system’s capacity. We address this by tightening coordination (so people don’t fall between systems), strengthening landlord partnerships, prioritizing flexible resources, and continuously refining program design to reduce bottlenecks (e.g., faster document/benefits access, better navigation workflows). We also push for cross-system agreements so housing placements don’t depend on luck or relationships.</w:t>
      </w:r>
    </w:p>
    <w:p w14:paraId="1636FED2"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13. </w:t>
      </w:r>
      <w:r w:rsidRPr="00CD4337">
        <w:rPr>
          <w:rFonts w:ascii="Montserrat" w:hAnsi="Montserrat"/>
          <w:b/>
          <w:bCs/>
          <w:sz w:val="20"/>
          <w:szCs w:val="20"/>
        </w:rPr>
        <w:t>How stakeholders can collaborate better for systemic change</w:t>
      </w:r>
      <w:r w:rsidRPr="00CD4337">
        <w:rPr>
          <w:rFonts w:ascii="Montserrat" w:hAnsi="Montserrat"/>
          <w:sz w:val="20"/>
          <w:szCs w:val="20"/>
        </w:rPr>
        <w:br/>
        <w:t>We need tighter alignment across city/county, housing authorities, and providers around shared goals: reducing inflow, shortening time homeless, and increasing permanent housing exits. Policymakers can fund the “boring infrastructure” (data, coordinated entry capacity, outreach coverage, flexible assistance) and support siting decisions for shelter/housing. Community members and businesses can help by supporting evidence-based solutions, resisting misinformation, and investing in long-term housing strategies rather than only short-term visibility fixes.</w:t>
      </w:r>
    </w:p>
    <w:p w14:paraId="17C3A16D" w14:textId="77777777" w:rsidR="00CD4337" w:rsidRPr="00CD4337" w:rsidRDefault="00CD4337" w:rsidP="00CD4337">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14. </w:t>
      </w:r>
      <w:r w:rsidRPr="00CD4337">
        <w:rPr>
          <w:rFonts w:ascii="Montserrat" w:hAnsi="Montserrat"/>
          <w:b/>
          <w:bCs/>
          <w:sz w:val="20"/>
          <w:szCs w:val="20"/>
        </w:rPr>
        <w:t>Innovative/emerging approaches we’re exploring</w:t>
      </w:r>
      <w:r w:rsidRPr="00CD4337">
        <w:rPr>
          <w:rFonts w:ascii="Montserrat" w:hAnsi="Montserrat"/>
          <w:sz w:val="20"/>
          <w:szCs w:val="20"/>
        </w:rPr>
        <w:br/>
        <w:t xml:space="preserve">We’re exploring stronger upstream prevention (targeted assistance before eviction), more coordinated outreach models, deeper partnerships with healthcare and behavioral health for high utilizers, and more flexible, person-centered problem-solving approaches. We also pay attention to models that integrate employment </w:t>
      </w:r>
      <w:r w:rsidRPr="00CD4337">
        <w:rPr>
          <w:rFonts w:ascii="Montserrat" w:hAnsi="Montserrat"/>
          <w:sz w:val="20"/>
          <w:szCs w:val="20"/>
        </w:rPr>
        <w:lastRenderedPageBreak/>
        <w:t>pathways with housing stability for the subset of people where that’s appropriate. The key “innovation” is usually not a new program—it’s better coordination and faster access to housing and supports.</w:t>
      </w:r>
    </w:p>
    <w:p w14:paraId="70763136" w14:textId="59E95EF7" w:rsidR="00CD4337" w:rsidRPr="001A576C" w:rsidRDefault="00CD4337" w:rsidP="001A576C">
      <w:pPr>
        <w:pStyle w:val="NormalWeb"/>
        <w:spacing w:before="0" w:beforeAutospacing="0" w:after="240" w:afterAutospacing="0"/>
        <w:ind w:left="720"/>
        <w:rPr>
          <w:rFonts w:ascii="Montserrat" w:hAnsi="Montserrat"/>
          <w:sz w:val="20"/>
          <w:szCs w:val="20"/>
        </w:rPr>
      </w:pPr>
      <w:r w:rsidRPr="00CD4337">
        <w:rPr>
          <w:rFonts w:ascii="Montserrat" w:hAnsi="Montserrat"/>
          <w:sz w:val="20"/>
          <w:szCs w:val="20"/>
        </w:rPr>
        <w:br/>
        <w:t xml:space="preserve">15. </w:t>
      </w:r>
      <w:r w:rsidRPr="00CD4337">
        <w:rPr>
          <w:rFonts w:ascii="Montserrat" w:hAnsi="Montserrat"/>
          <w:b/>
          <w:bCs/>
          <w:sz w:val="20"/>
          <w:szCs w:val="20"/>
        </w:rPr>
        <w:t>How we incorporate feedback from people experiencing homelessness</w:t>
      </w:r>
      <w:r w:rsidRPr="00CD4337">
        <w:rPr>
          <w:rFonts w:ascii="Montserrat" w:hAnsi="Montserrat"/>
          <w:sz w:val="20"/>
          <w:szCs w:val="20"/>
        </w:rPr>
        <w:br/>
        <w:t>We incorporate feedback through day-to-day program interactions at the Murphy Center and in outreach, regular client input during service planning, and listening sessions when we’re designing or revising processes. A lot of the most useful feedback is operational—what makes it hard to access services, what rules create unnecessary barriers, what communication fails—so we translate that into changes in workflow, hours, referral processes, and partner coordination. We also elevate client experience themes when advocating for policy changes that impact access and dignity.</w:t>
      </w:r>
    </w:p>
    <w:p w14:paraId="473CDA47" w14:textId="048EAC57" w:rsidR="00CD4337" w:rsidRPr="00CD4337" w:rsidRDefault="00CD4337" w:rsidP="00CD4337">
      <w:pPr>
        <w:spacing w:before="100" w:beforeAutospacing="1" w:after="100" w:afterAutospacing="1" w:line="240" w:lineRule="auto"/>
        <w:rPr>
          <w:rFonts w:ascii="Times New Roman" w:eastAsia="Times New Roman" w:hAnsi="Times New Roman" w:cs="Times New Roman"/>
          <w:i/>
          <w:iCs/>
          <w:kern w:val="0"/>
          <w:sz w:val="20"/>
          <w:szCs w:val="20"/>
          <w14:ligatures w14:val="none"/>
        </w:rPr>
      </w:pPr>
      <w:r w:rsidRPr="00CD4337">
        <w:rPr>
          <w:rFonts w:ascii="Montserrat" w:eastAsia="Times New Roman" w:hAnsi="Montserrat" w:cs="Times New Roman"/>
          <w:i/>
          <w:iCs/>
          <w:kern w:val="0"/>
          <w:sz w:val="20"/>
          <w:szCs w:val="20"/>
          <w14:ligatures w14:val="none"/>
        </w:rPr>
        <w:t>Please note this summary was prepared with AI assistance to help us serve students more efficiently</w:t>
      </w:r>
      <w:r w:rsidRPr="00CD4337">
        <w:rPr>
          <w:rFonts w:ascii="Times New Roman" w:eastAsia="Times New Roman" w:hAnsi="Times New Roman" w:cs="Times New Roman"/>
          <w:i/>
          <w:iCs/>
          <w:kern w:val="0"/>
          <w:sz w:val="20"/>
          <w:szCs w:val="20"/>
          <w14:ligatures w14:val="none"/>
        </w:rPr>
        <w:t>.</w:t>
      </w:r>
    </w:p>
    <w:p w14:paraId="4433FB2F" w14:textId="77777777" w:rsidR="00CD4337" w:rsidRDefault="00CD4337"/>
    <w:sectPr w:rsidR="00CD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41C2"/>
    <w:multiLevelType w:val="hybridMultilevel"/>
    <w:tmpl w:val="6020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97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37"/>
    <w:rsid w:val="001A576C"/>
    <w:rsid w:val="00695FB7"/>
    <w:rsid w:val="00CD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91F5"/>
  <w15:chartTrackingRefBased/>
  <w15:docId w15:val="{7CCBBEEA-EF2D-4A5A-84D1-FBB1E234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337"/>
    <w:rPr>
      <w:rFonts w:eastAsiaTheme="majorEastAsia" w:cstheme="majorBidi"/>
      <w:color w:val="272727" w:themeColor="text1" w:themeTint="D8"/>
    </w:rPr>
  </w:style>
  <w:style w:type="paragraph" w:styleId="Title">
    <w:name w:val="Title"/>
    <w:basedOn w:val="Normal"/>
    <w:next w:val="Normal"/>
    <w:link w:val="TitleChar"/>
    <w:uiPriority w:val="10"/>
    <w:qFormat/>
    <w:rsid w:val="00CD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337"/>
    <w:pPr>
      <w:spacing w:before="160"/>
      <w:jc w:val="center"/>
    </w:pPr>
    <w:rPr>
      <w:i/>
      <w:iCs/>
      <w:color w:val="404040" w:themeColor="text1" w:themeTint="BF"/>
    </w:rPr>
  </w:style>
  <w:style w:type="character" w:customStyle="1" w:styleId="QuoteChar">
    <w:name w:val="Quote Char"/>
    <w:basedOn w:val="DefaultParagraphFont"/>
    <w:link w:val="Quote"/>
    <w:uiPriority w:val="29"/>
    <w:rsid w:val="00CD4337"/>
    <w:rPr>
      <w:i/>
      <w:iCs/>
      <w:color w:val="404040" w:themeColor="text1" w:themeTint="BF"/>
    </w:rPr>
  </w:style>
  <w:style w:type="paragraph" w:styleId="ListParagraph">
    <w:name w:val="List Paragraph"/>
    <w:basedOn w:val="Normal"/>
    <w:uiPriority w:val="34"/>
    <w:qFormat/>
    <w:rsid w:val="00CD4337"/>
    <w:pPr>
      <w:ind w:left="720"/>
      <w:contextualSpacing/>
    </w:pPr>
  </w:style>
  <w:style w:type="character" w:styleId="IntenseEmphasis">
    <w:name w:val="Intense Emphasis"/>
    <w:basedOn w:val="DefaultParagraphFont"/>
    <w:uiPriority w:val="21"/>
    <w:qFormat/>
    <w:rsid w:val="00CD4337"/>
    <w:rPr>
      <w:i/>
      <w:iCs/>
      <w:color w:val="0F4761" w:themeColor="accent1" w:themeShade="BF"/>
    </w:rPr>
  </w:style>
  <w:style w:type="paragraph" w:styleId="IntenseQuote">
    <w:name w:val="Intense Quote"/>
    <w:basedOn w:val="Normal"/>
    <w:next w:val="Normal"/>
    <w:link w:val="IntenseQuoteChar"/>
    <w:uiPriority w:val="30"/>
    <w:qFormat/>
    <w:rsid w:val="00CD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337"/>
    <w:rPr>
      <w:i/>
      <w:iCs/>
      <w:color w:val="0F4761" w:themeColor="accent1" w:themeShade="BF"/>
    </w:rPr>
  </w:style>
  <w:style w:type="character" w:styleId="IntenseReference">
    <w:name w:val="Intense Reference"/>
    <w:basedOn w:val="DefaultParagraphFont"/>
    <w:uiPriority w:val="32"/>
    <w:qFormat/>
    <w:rsid w:val="00CD4337"/>
    <w:rPr>
      <w:b/>
      <w:bCs/>
      <w:smallCaps/>
      <w:color w:val="0F4761" w:themeColor="accent1" w:themeShade="BF"/>
      <w:spacing w:val="5"/>
    </w:rPr>
  </w:style>
  <w:style w:type="paragraph" w:styleId="NormalWeb">
    <w:name w:val="Normal (Web)"/>
    <w:basedOn w:val="Normal"/>
    <w:uiPriority w:val="99"/>
    <w:unhideWhenUsed/>
    <w:rsid w:val="00CD4337"/>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unhideWhenUsed/>
    <w:rsid w:val="00CD4337"/>
    <w:rPr>
      <w:color w:val="467886" w:themeColor="hyperlink"/>
      <w:u w:val="single"/>
    </w:rPr>
  </w:style>
  <w:style w:type="character" w:styleId="UnresolvedMention">
    <w:name w:val="Unresolved Mention"/>
    <w:basedOn w:val="DefaultParagraphFont"/>
    <w:uiPriority w:val="99"/>
    <w:semiHidden/>
    <w:unhideWhenUsed/>
    <w:rsid w:val="00CD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ving@HomewardAllia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1422</Words>
  <Characters>8849</Characters>
  <Application>Microsoft Office Word</Application>
  <DocSecurity>0</DocSecurity>
  <Lines>160</Lines>
  <Paragraphs>1</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Brewer</dc:creator>
  <cp:keywords/>
  <dc:description/>
  <cp:lastModifiedBy>Pam Brewer</cp:lastModifiedBy>
  <cp:revision>2</cp:revision>
  <dcterms:created xsi:type="dcterms:W3CDTF">2026-01-23T16:45:00Z</dcterms:created>
  <dcterms:modified xsi:type="dcterms:W3CDTF">2026-01-23T17:01:00Z</dcterms:modified>
</cp:coreProperties>
</file>